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4948" w14:textId="220FBB57" w:rsidR="00261880" w:rsidRDefault="00D714CC">
      <w:r>
        <w:t>Dell risers configuration:</w:t>
      </w:r>
    </w:p>
    <w:p w14:paraId="5092C2B5" w14:textId="733C4D81" w:rsidR="00D714CC" w:rsidRDefault="00D714CC">
      <w:hyperlink r:id="rId4" w:history="1">
        <w:r w:rsidRPr="005A2D10">
          <w:rPr>
            <w:rStyle w:val="Hyperlink"/>
          </w:rPr>
          <w:t>https://www.dell.com/support/manuals/en-au/poweredge-r740/per740_techspecs_pub/expansion-bus-specifications?guid=guid-980ac5b8-ef7d-4759-8956-82c2aba9002a&amp;lang=en-us</w:t>
        </w:r>
      </w:hyperlink>
    </w:p>
    <w:p w14:paraId="5F6D9E31" w14:textId="6B764D64" w:rsidR="00D714CC" w:rsidRDefault="00D714CC"/>
    <w:p w14:paraId="3483D52A" w14:textId="738BB17C" w:rsidR="00D714CC" w:rsidRDefault="00D714CC"/>
    <w:p w14:paraId="5124D24A" w14:textId="1B6A6E02" w:rsidR="00D714CC" w:rsidRDefault="00D714CC">
      <w:r>
        <w:t>R740 (example risers and slots)</w:t>
      </w:r>
    </w:p>
    <w:p w14:paraId="3F5DEBC2" w14:textId="4A9F41D8" w:rsidR="00D714CC" w:rsidRDefault="00D714CC">
      <w:r w:rsidRPr="00D714CC">
        <w:drawing>
          <wp:inline distT="0" distB="0" distL="0" distR="0" wp14:anchorId="5AADE39E" wp14:editId="5C0210AB">
            <wp:extent cx="5130800" cy="19177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5"/>
                    <a:stretch>
                      <a:fillRect/>
                    </a:stretch>
                  </pic:blipFill>
                  <pic:spPr>
                    <a:xfrm>
                      <a:off x="0" y="0"/>
                      <a:ext cx="5130800" cy="1917700"/>
                    </a:xfrm>
                    <a:prstGeom prst="rect">
                      <a:avLst/>
                    </a:prstGeom>
                  </pic:spPr>
                </pic:pic>
              </a:graphicData>
            </a:graphic>
          </wp:inline>
        </w:drawing>
      </w:r>
    </w:p>
    <w:p w14:paraId="4B8CFA73" w14:textId="5EA36A76" w:rsidR="00D714CC" w:rsidRDefault="00D714CC"/>
    <w:p w14:paraId="3E381233" w14:textId="6AB68598" w:rsidR="007207EE" w:rsidRDefault="007207EE">
      <w:r w:rsidRPr="007207EE">
        <w:drawing>
          <wp:inline distT="0" distB="0" distL="0" distR="0" wp14:anchorId="03D54C3F" wp14:editId="28DABDF7">
            <wp:extent cx="5715000" cy="2552700"/>
            <wp:effectExtent l="0" t="0" r="0" b="0"/>
            <wp:docPr id="5" name="Picture 5" descr="A close-up of a computer chi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mputer chip&#10;&#10;Description automatically generated with low confidence"/>
                    <pic:cNvPicPr/>
                  </pic:nvPicPr>
                  <pic:blipFill>
                    <a:blip r:embed="rId6"/>
                    <a:stretch>
                      <a:fillRect/>
                    </a:stretch>
                  </pic:blipFill>
                  <pic:spPr>
                    <a:xfrm>
                      <a:off x="0" y="0"/>
                      <a:ext cx="5715000" cy="2552700"/>
                    </a:xfrm>
                    <a:prstGeom prst="rect">
                      <a:avLst/>
                    </a:prstGeom>
                  </pic:spPr>
                </pic:pic>
              </a:graphicData>
            </a:graphic>
          </wp:inline>
        </w:drawing>
      </w:r>
    </w:p>
    <w:p w14:paraId="77300264" w14:textId="77777777" w:rsidR="007207EE" w:rsidRDefault="007207EE"/>
    <w:p w14:paraId="0B6859FA" w14:textId="7DC3DB4D" w:rsidR="00D714CC" w:rsidRDefault="00D714CC">
      <w:r>
        <w:t>Example riser card board</w:t>
      </w:r>
    </w:p>
    <w:p w14:paraId="5DC10C96" w14:textId="6A54F67D" w:rsidR="00D714CC" w:rsidRDefault="00D714CC"/>
    <w:p w14:paraId="12F05053" w14:textId="07D89EEF" w:rsidR="00D714CC" w:rsidRDefault="00D714CC">
      <w:r w:rsidRPr="00D714CC">
        <w:drawing>
          <wp:inline distT="0" distB="0" distL="0" distR="0" wp14:anchorId="1D0012D5" wp14:editId="4F0161BB">
            <wp:extent cx="4234014" cy="1566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37954" cy="1567610"/>
                    </a:xfrm>
                    <a:prstGeom prst="rect">
                      <a:avLst/>
                    </a:prstGeom>
                  </pic:spPr>
                </pic:pic>
              </a:graphicData>
            </a:graphic>
          </wp:inline>
        </w:drawing>
      </w:r>
    </w:p>
    <w:p w14:paraId="1C55D9D1" w14:textId="2491FA19" w:rsidR="007207EE" w:rsidRDefault="007207EE"/>
    <w:p w14:paraId="0F345C63" w14:textId="2DFCBD04" w:rsidR="007207EE" w:rsidRDefault="007207EE">
      <w:hyperlink r:id="rId8" w:history="1">
        <w:r w:rsidRPr="005A2D10">
          <w:rPr>
            <w:rStyle w:val="Hyperlink"/>
          </w:rPr>
          <w:t>https://i.dell.com/sites/csdocuments/Shared-Content_data-Sheets_Documents/en/aa/PowerEdge_R740_R740xd_Technical_Guide.pdf</w:t>
        </w:r>
      </w:hyperlink>
    </w:p>
    <w:p w14:paraId="76310DAD" w14:textId="77777777" w:rsidR="007207EE" w:rsidRDefault="007207EE"/>
    <w:p w14:paraId="7FA864F6" w14:textId="602B029B" w:rsidR="007207EE" w:rsidRDefault="007207EE" w:rsidP="007207EE">
      <w:pPr>
        <w:pStyle w:val="NormalWeb"/>
      </w:pPr>
      <w:r>
        <w:lastRenderedPageBreak/>
        <w:t xml:space="preserve">Broadcom: </w:t>
      </w:r>
      <w:r>
        <w:rPr>
          <w:rFonts w:ascii="ArialMT" w:hAnsi="ArialMT"/>
          <w:color w:val="424242"/>
          <w:sz w:val="18"/>
          <w:szCs w:val="18"/>
        </w:rPr>
        <w:t xml:space="preserve">57508 Dual Port 100GbE QSFP Adapter, PCIe </w:t>
      </w:r>
      <w:r>
        <w:rPr>
          <w:rFonts w:ascii="ArialMT" w:hAnsi="ArialMT"/>
          <w:color w:val="424242"/>
          <w:sz w:val="18"/>
          <w:szCs w:val="18"/>
        </w:rPr>
        <w:t xml:space="preserve"> </w:t>
      </w:r>
      <w:r>
        <w:rPr>
          <w:rFonts w:ascii="ArialMT" w:hAnsi="ArialMT"/>
          <w:color w:val="424242"/>
          <w:sz w:val="18"/>
          <w:szCs w:val="18"/>
        </w:rPr>
        <w:t xml:space="preserve">540-BDED </w:t>
      </w:r>
    </w:p>
    <w:p w14:paraId="3E8B23F2" w14:textId="34661394" w:rsidR="007207EE" w:rsidRDefault="007207EE" w:rsidP="007207EE">
      <w:pPr>
        <w:pStyle w:val="NormalWeb"/>
      </w:pPr>
      <w:hyperlink r:id="rId9" w:history="1">
        <w:r w:rsidRPr="005A2D10">
          <w:rPr>
            <w:rStyle w:val="Hyperlink"/>
          </w:rPr>
          <w:t>https://www.dell.com/en-hk/shop/broadcom-57508-dual-port-100gbe-qsfp-adapter-pcie-low-profile/apd/540-bdee/net</w:t>
        </w:r>
        <w:r w:rsidRPr="005A2D10">
          <w:rPr>
            <w:rStyle w:val="Hyperlink"/>
          </w:rPr>
          <w:t>w</w:t>
        </w:r>
        <w:r w:rsidRPr="005A2D10">
          <w:rPr>
            <w:rStyle w:val="Hyperlink"/>
          </w:rPr>
          <w:t>orking#tabs_section</w:t>
        </w:r>
      </w:hyperlink>
    </w:p>
    <w:p w14:paraId="4B09F74C" w14:textId="125330A9" w:rsidR="007207EE" w:rsidRDefault="007207EE" w:rsidP="007207EE">
      <w:pPr>
        <w:pStyle w:val="NormalWeb"/>
        <w:rPr>
          <w:rFonts w:ascii="Arial" w:hAnsi="Arial" w:cs="Arial"/>
          <w:sz w:val="25"/>
          <w:szCs w:val="25"/>
        </w:rPr>
      </w:pPr>
      <w:r>
        <w:rPr>
          <w:rFonts w:ascii="Arial" w:hAnsi="Arial" w:cs="Arial"/>
          <w:sz w:val="25"/>
          <w:szCs w:val="25"/>
        </w:rPr>
        <w:t xml:space="preserve">The BCM957508-P2100G NIC is a </w:t>
      </w:r>
      <w:r>
        <w:rPr>
          <w:rStyle w:val="highlight"/>
          <w:rFonts w:ascii="Arial" w:hAnsi="Arial" w:cs="Arial"/>
          <w:sz w:val="25"/>
          <w:szCs w:val="25"/>
        </w:rPr>
        <w:t>PCI</w:t>
      </w:r>
      <w:r>
        <w:rPr>
          <w:rFonts w:ascii="Arial" w:hAnsi="Arial" w:cs="Arial"/>
          <w:sz w:val="25"/>
          <w:szCs w:val="25"/>
        </w:rPr>
        <w:t xml:space="preserve"> Express 4.0 x16</w:t>
      </w:r>
    </w:p>
    <w:p w14:paraId="1C7E8170" w14:textId="6F1BC38E" w:rsidR="007207EE" w:rsidRDefault="007207EE" w:rsidP="007207EE">
      <w:pPr>
        <w:pStyle w:val="NormalWeb"/>
        <w:rPr>
          <w:rFonts w:ascii="Arial" w:hAnsi="Arial" w:cs="Arial"/>
          <w:sz w:val="25"/>
          <w:szCs w:val="25"/>
        </w:rPr>
      </w:pPr>
      <w:r>
        <w:rPr>
          <w:rStyle w:val="highlight"/>
          <w:rFonts w:ascii="Arial" w:hAnsi="Arial" w:cs="Arial"/>
          <w:sz w:val="25"/>
          <w:szCs w:val="25"/>
        </w:rPr>
        <w:t>PCI</w:t>
      </w:r>
      <w:r>
        <w:rPr>
          <w:rFonts w:ascii="Arial" w:hAnsi="Arial" w:cs="Arial"/>
          <w:sz w:val="25"/>
          <w:szCs w:val="25"/>
        </w:rPr>
        <w:t xml:space="preserve">e is a high-bandwidth serial bus providing a low pin-count interface as an alternative to parallel </w:t>
      </w:r>
      <w:r>
        <w:rPr>
          <w:rStyle w:val="highlight"/>
          <w:rFonts w:ascii="Arial" w:hAnsi="Arial" w:cs="Arial"/>
          <w:sz w:val="25"/>
          <w:szCs w:val="25"/>
        </w:rPr>
        <w:t>PCI</w:t>
      </w:r>
      <w:r>
        <w:rPr>
          <w:rFonts w:ascii="Arial" w:hAnsi="Arial" w:cs="Arial"/>
          <w:sz w:val="25"/>
          <w:szCs w:val="25"/>
        </w:rPr>
        <w:t>. It is part of the host</w:t>
      </w:r>
      <w:r>
        <w:br/>
      </w:r>
      <w:r>
        <w:rPr>
          <w:rFonts w:ascii="Arial" w:hAnsi="Arial" w:cs="Arial"/>
          <w:sz w:val="25"/>
          <w:szCs w:val="25"/>
        </w:rPr>
        <w:t>interface connector.</w:t>
      </w:r>
    </w:p>
    <w:p w14:paraId="585A4677" w14:textId="03B09686" w:rsidR="007207EE" w:rsidRDefault="007207EE" w:rsidP="007207EE">
      <w:pPr>
        <w:pStyle w:val="NormalWeb"/>
        <w:rPr>
          <w:rFonts w:ascii="Arial" w:hAnsi="Arial" w:cs="Arial"/>
          <w:sz w:val="25"/>
          <w:szCs w:val="25"/>
        </w:rPr>
      </w:pPr>
    </w:p>
    <w:p w14:paraId="288B445C" w14:textId="767D80B5" w:rsidR="00C75DE0" w:rsidRDefault="00C75DE0" w:rsidP="007207EE">
      <w:pPr>
        <w:pStyle w:val="NormalWeb"/>
        <w:rPr>
          <w:rFonts w:ascii="Arial" w:hAnsi="Arial" w:cs="Arial"/>
          <w:sz w:val="25"/>
          <w:szCs w:val="25"/>
        </w:rPr>
      </w:pPr>
      <w:r>
        <w:rPr>
          <w:rFonts w:ascii="Arial" w:hAnsi="Arial" w:cs="Arial"/>
          <w:sz w:val="25"/>
          <w:szCs w:val="25"/>
        </w:rPr>
        <w:t>PROCEDURE (from Dell):</w:t>
      </w:r>
    </w:p>
    <w:p w14:paraId="39D8F844" w14:textId="084BCAE5" w:rsidR="00C75DE0" w:rsidRDefault="00C75DE0" w:rsidP="00C75DE0">
      <w:pPr>
        <w:pStyle w:val="NormalWeb"/>
        <w:rPr>
          <w:rFonts w:ascii="Segoe UI" w:hAnsi="Segoe UI" w:cs="Segoe UI"/>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4"/>
        <w:gridCol w:w="3525"/>
        <w:gridCol w:w="981"/>
        <w:gridCol w:w="871"/>
        <w:gridCol w:w="736"/>
        <w:gridCol w:w="736"/>
        <w:gridCol w:w="822"/>
        <w:gridCol w:w="591"/>
      </w:tblGrid>
      <w:tr w:rsidR="00C75DE0" w14:paraId="511BB761" w14:textId="77777777" w:rsidTr="00C75DE0">
        <w:trPr>
          <w:tblCellSpacing w:w="15" w:type="dxa"/>
        </w:trPr>
        <w:tc>
          <w:tcPr>
            <w:tcW w:w="0" w:type="auto"/>
            <w:vAlign w:val="center"/>
            <w:hideMark/>
          </w:tcPr>
          <w:p w14:paraId="53B90CD0" w14:textId="77777777" w:rsidR="00C75DE0" w:rsidRDefault="00C75DE0">
            <w:r>
              <w:t>DPN</w:t>
            </w:r>
          </w:p>
        </w:tc>
        <w:tc>
          <w:tcPr>
            <w:tcW w:w="0" w:type="auto"/>
            <w:vAlign w:val="center"/>
            <w:hideMark/>
          </w:tcPr>
          <w:p w14:paraId="7D2D65AB" w14:textId="77777777" w:rsidR="00C75DE0" w:rsidRDefault="00C75DE0">
            <w:r>
              <w:t>Agile Description</w:t>
            </w:r>
          </w:p>
        </w:tc>
        <w:tc>
          <w:tcPr>
            <w:tcW w:w="0" w:type="auto"/>
            <w:vAlign w:val="center"/>
            <w:hideMark/>
          </w:tcPr>
          <w:p w14:paraId="51A256B8" w14:textId="77777777" w:rsidR="00C75DE0" w:rsidRDefault="00C75DE0">
            <w:r>
              <w:t>Supplier</w:t>
            </w:r>
          </w:p>
        </w:tc>
        <w:tc>
          <w:tcPr>
            <w:tcW w:w="0" w:type="auto"/>
            <w:vAlign w:val="center"/>
            <w:hideMark/>
          </w:tcPr>
          <w:p w14:paraId="5BE5A596" w14:textId="77777777" w:rsidR="00C75DE0" w:rsidRDefault="00C75DE0">
            <w:r>
              <w:t>Category</w:t>
            </w:r>
          </w:p>
        </w:tc>
        <w:tc>
          <w:tcPr>
            <w:tcW w:w="0" w:type="auto"/>
            <w:vAlign w:val="center"/>
            <w:hideMark/>
          </w:tcPr>
          <w:p w14:paraId="140E560B" w14:textId="77777777" w:rsidR="00C75DE0" w:rsidRDefault="00C75DE0">
            <w:r>
              <w:t>Card Priority</w:t>
            </w:r>
          </w:p>
        </w:tc>
        <w:tc>
          <w:tcPr>
            <w:tcW w:w="0" w:type="auto"/>
            <w:vAlign w:val="center"/>
            <w:hideMark/>
          </w:tcPr>
          <w:p w14:paraId="0507A2B7" w14:textId="77777777" w:rsidR="00C75DE0" w:rsidRDefault="00C75DE0">
            <w:r>
              <w:t>Slot Priority</w:t>
            </w:r>
          </w:p>
        </w:tc>
        <w:tc>
          <w:tcPr>
            <w:tcW w:w="0" w:type="auto"/>
            <w:vAlign w:val="center"/>
            <w:hideMark/>
          </w:tcPr>
          <w:p w14:paraId="10F9FB3C" w14:textId="77777777" w:rsidR="00C75DE0" w:rsidRDefault="00C75DE0">
            <w:r>
              <w:t>Bracket Height Allowed</w:t>
            </w:r>
          </w:p>
        </w:tc>
        <w:tc>
          <w:tcPr>
            <w:tcW w:w="0" w:type="auto"/>
            <w:vAlign w:val="center"/>
            <w:hideMark/>
          </w:tcPr>
          <w:p w14:paraId="6127DB7A" w14:textId="77777777" w:rsidR="00C75DE0" w:rsidRDefault="00C75DE0">
            <w:r>
              <w:t>Max # of Cards</w:t>
            </w:r>
          </w:p>
        </w:tc>
      </w:tr>
      <w:tr w:rsidR="00C75DE0" w14:paraId="769A7927" w14:textId="77777777" w:rsidTr="00C75DE0">
        <w:trPr>
          <w:tblCellSpacing w:w="15" w:type="dxa"/>
        </w:trPr>
        <w:tc>
          <w:tcPr>
            <w:tcW w:w="0" w:type="auto"/>
            <w:vAlign w:val="center"/>
            <w:hideMark/>
          </w:tcPr>
          <w:p w14:paraId="2F56D8D5" w14:textId="77777777" w:rsidR="00C75DE0" w:rsidRDefault="00C75DE0">
            <w:r>
              <w:t>DPNHJ</w:t>
            </w:r>
          </w:p>
        </w:tc>
        <w:tc>
          <w:tcPr>
            <w:tcW w:w="0" w:type="auto"/>
            <w:vAlign w:val="center"/>
            <w:hideMark/>
          </w:tcPr>
          <w:p w14:paraId="31C93FFE" w14:textId="77777777" w:rsidR="00C75DE0" w:rsidRDefault="00C75DE0">
            <w:proofErr w:type="gramStart"/>
            <w:r>
              <w:t>ASSY,CRD</w:t>
            </w:r>
            <w:proofErr w:type="gramEnd"/>
            <w:r>
              <w:t>,CTL,H740P,8GB,ADPT</w:t>
            </w:r>
          </w:p>
        </w:tc>
        <w:tc>
          <w:tcPr>
            <w:tcW w:w="0" w:type="auto"/>
            <w:vAlign w:val="center"/>
            <w:hideMark/>
          </w:tcPr>
          <w:p w14:paraId="10A8BA3C" w14:textId="77777777" w:rsidR="00C75DE0" w:rsidRDefault="00C75DE0">
            <w:r>
              <w:t>Dell</w:t>
            </w:r>
          </w:p>
        </w:tc>
        <w:tc>
          <w:tcPr>
            <w:tcW w:w="0" w:type="auto"/>
            <w:vAlign w:val="center"/>
            <w:hideMark/>
          </w:tcPr>
          <w:p w14:paraId="33FD43CC" w14:textId="77777777" w:rsidR="00C75DE0" w:rsidRDefault="00C75DE0">
            <w:r>
              <w:t>PERC 10: Internal Adapter</w:t>
            </w:r>
          </w:p>
        </w:tc>
        <w:tc>
          <w:tcPr>
            <w:tcW w:w="0" w:type="auto"/>
            <w:vAlign w:val="center"/>
            <w:hideMark/>
          </w:tcPr>
          <w:p w14:paraId="161EC533" w14:textId="77777777" w:rsidR="00C75DE0" w:rsidRDefault="00C75DE0">
            <w:r>
              <w:t>4100</w:t>
            </w:r>
          </w:p>
        </w:tc>
        <w:tc>
          <w:tcPr>
            <w:tcW w:w="0" w:type="auto"/>
            <w:vAlign w:val="center"/>
            <w:hideMark/>
          </w:tcPr>
          <w:p w14:paraId="357FF212" w14:textId="77777777" w:rsidR="00C75DE0" w:rsidRDefault="00C75DE0">
            <w:r>
              <w:t>6,5</w:t>
            </w:r>
          </w:p>
        </w:tc>
        <w:tc>
          <w:tcPr>
            <w:tcW w:w="0" w:type="auto"/>
            <w:vAlign w:val="center"/>
            <w:hideMark/>
          </w:tcPr>
          <w:p w14:paraId="08766D64" w14:textId="77777777" w:rsidR="00C75DE0" w:rsidRDefault="00C75DE0">
            <w:r>
              <w:t>FH or LP</w:t>
            </w:r>
          </w:p>
        </w:tc>
        <w:tc>
          <w:tcPr>
            <w:tcW w:w="0" w:type="auto"/>
            <w:vAlign w:val="center"/>
            <w:hideMark/>
          </w:tcPr>
          <w:p w14:paraId="424F486E" w14:textId="77777777" w:rsidR="00C75DE0" w:rsidRDefault="00C75DE0">
            <w:r>
              <w:t>1</w:t>
            </w:r>
          </w:p>
        </w:tc>
      </w:tr>
      <w:tr w:rsidR="00C75DE0" w14:paraId="0992F44D" w14:textId="77777777" w:rsidTr="00C75DE0">
        <w:trPr>
          <w:tblCellSpacing w:w="15" w:type="dxa"/>
        </w:trPr>
        <w:tc>
          <w:tcPr>
            <w:tcW w:w="0" w:type="auto"/>
            <w:vAlign w:val="center"/>
            <w:hideMark/>
          </w:tcPr>
          <w:p w14:paraId="1F26BB2A" w14:textId="77777777" w:rsidR="00C75DE0" w:rsidRDefault="00C75DE0">
            <w:r>
              <w:t>FPM6F</w:t>
            </w:r>
          </w:p>
        </w:tc>
        <w:tc>
          <w:tcPr>
            <w:tcW w:w="0" w:type="auto"/>
            <w:vAlign w:val="center"/>
            <w:hideMark/>
          </w:tcPr>
          <w:p w14:paraId="2BE7069C" w14:textId="77777777" w:rsidR="00C75DE0" w:rsidRDefault="00C75DE0">
            <w:proofErr w:type="gramStart"/>
            <w:r>
              <w:t>CRD,NTWK</w:t>
            </w:r>
            <w:proofErr w:type="gramEnd"/>
            <w:r>
              <w:t>,BCME,FH,100G,2P,Q28</w:t>
            </w:r>
          </w:p>
        </w:tc>
        <w:tc>
          <w:tcPr>
            <w:tcW w:w="0" w:type="auto"/>
            <w:vAlign w:val="center"/>
            <w:hideMark/>
          </w:tcPr>
          <w:p w14:paraId="58F56C08" w14:textId="77777777" w:rsidR="00C75DE0" w:rsidRDefault="00C75DE0">
            <w:r>
              <w:t>Broadcom</w:t>
            </w:r>
          </w:p>
        </w:tc>
        <w:tc>
          <w:tcPr>
            <w:tcW w:w="0" w:type="auto"/>
            <w:vAlign w:val="center"/>
            <w:hideMark/>
          </w:tcPr>
          <w:p w14:paraId="5A3E552F" w14:textId="77777777" w:rsidR="00C75DE0" w:rsidRDefault="00C75DE0">
            <w:r>
              <w:t>NIC: 100G</w:t>
            </w:r>
          </w:p>
        </w:tc>
        <w:tc>
          <w:tcPr>
            <w:tcW w:w="0" w:type="auto"/>
            <w:vAlign w:val="center"/>
            <w:hideMark/>
          </w:tcPr>
          <w:p w14:paraId="2456C398" w14:textId="77777777" w:rsidR="00C75DE0" w:rsidRDefault="00C75DE0">
            <w:r>
              <w:t>6700</w:t>
            </w:r>
          </w:p>
        </w:tc>
        <w:tc>
          <w:tcPr>
            <w:tcW w:w="0" w:type="auto"/>
            <w:vAlign w:val="center"/>
            <w:hideMark/>
          </w:tcPr>
          <w:p w14:paraId="2F9A57B1" w14:textId="77777777" w:rsidR="00C75DE0" w:rsidRDefault="00C75DE0">
            <w:r>
              <w:t>1,8,4</w:t>
            </w:r>
          </w:p>
        </w:tc>
        <w:tc>
          <w:tcPr>
            <w:tcW w:w="0" w:type="auto"/>
            <w:vAlign w:val="center"/>
            <w:hideMark/>
          </w:tcPr>
          <w:p w14:paraId="4F22E0FD" w14:textId="77777777" w:rsidR="00C75DE0" w:rsidRDefault="00C75DE0">
            <w:r>
              <w:t>FH</w:t>
            </w:r>
          </w:p>
        </w:tc>
        <w:tc>
          <w:tcPr>
            <w:tcW w:w="0" w:type="auto"/>
            <w:vAlign w:val="center"/>
            <w:hideMark/>
          </w:tcPr>
          <w:p w14:paraId="081E32E3" w14:textId="77777777" w:rsidR="00C75DE0" w:rsidRDefault="00C75DE0">
            <w:r>
              <w:t>3</w:t>
            </w:r>
          </w:p>
        </w:tc>
      </w:tr>
    </w:tbl>
    <w:p w14:paraId="30B4D8DB" w14:textId="77777777" w:rsidR="00C75DE0" w:rsidRDefault="00C75DE0" w:rsidP="00C75DE0">
      <w:pPr>
        <w:pStyle w:val="NormalWeb"/>
        <w:rPr>
          <w:rFonts w:ascii="Segoe UI" w:hAnsi="Segoe UI" w:cs="Segoe UI"/>
          <w:sz w:val="21"/>
          <w:szCs w:val="21"/>
        </w:rPr>
      </w:pPr>
      <w:r>
        <w:rPr>
          <w:rFonts w:ascii="Segoe UI" w:hAnsi="Segoe UI" w:cs="Segoe UI"/>
          <w:sz w:val="21"/>
          <w:szCs w:val="21"/>
        </w:rPr>
        <w:t>2 numbers to understand. Card priority and slot priority. </w:t>
      </w:r>
    </w:p>
    <w:p w14:paraId="5E369356" w14:textId="77777777" w:rsidR="00C75DE0" w:rsidRDefault="00C75DE0" w:rsidP="00C75DE0">
      <w:pPr>
        <w:pStyle w:val="NormalWeb"/>
        <w:rPr>
          <w:rFonts w:ascii="Segoe UI" w:hAnsi="Segoe UI" w:cs="Segoe UI"/>
          <w:sz w:val="21"/>
          <w:szCs w:val="21"/>
        </w:rPr>
      </w:pPr>
      <w:r>
        <w:rPr>
          <w:rFonts w:ascii="Segoe UI" w:hAnsi="Segoe UI" w:cs="Segoe UI"/>
          <w:sz w:val="21"/>
          <w:szCs w:val="21"/>
        </w:rPr>
        <w:t xml:space="preserve">Card priority is the lower the number the more priority is given to this card. You can see that the H740P gets priority over the Broadcom NIC in your server config. </w:t>
      </w:r>
      <w:proofErr w:type="gramStart"/>
      <w:r>
        <w:rPr>
          <w:rFonts w:ascii="Segoe UI" w:hAnsi="Segoe UI" w:cs="Segoe UI"/>
          <w:sz w:val="21"/>
          <w:szCs w:val="21"/>
        </w:rPr>
        <w:t>So</w:t>
      </w:r>
      <w:proofErr w:type="gramEnd"/>
      <w:r>
        <w:rPr>
          <w:rFonts w:ascii="Segoe UI" w:hAnsi="Segoe UI" w:cs="Segoe UI"/>
          <w:sz w:val="21"/>
          <w:szCs w:val="21"/>
        </w:rPr>
        <w:t xml:space="preserve"> the PERC get seated its </w:t>
      </w:r>
      <w:proofErr w:type="spellStart"/>
      <w:r>
        <w:rPr>
          <w:rFonts w:ascii="Segoe UI" w:hAnsi="Segoe UI" w:cs="Segoe UI"/>
          <w:sz w:val="21"/>
          <w:szCs w:val="21"/>
        </w:rPr>
        <w:t>its</w:t>
      </w:r>
      <w:proofErr w:type="spellEnd"/>
      <w:r>
        <w:rPr>
          <w:rFonts w:ascii="Segoe UI" w:hAnsi="Segoe UI" w:cs="Segoe UI"/>
          <w:sz w:val="21"/>
          <w:szCs w:val="21"/>
        </w:rPr>
        <w:t xml:space="preserve"> optimised slot of slot 6.</w:t>
      </w:r>
    </w:p>
    <w:p w14:paraId="2895E844" w14:textId="77777777" w:rsidR="00C75DE0" w:rsidRDefault="00C75DE0" w:rsidP="00C75DE0">
      <w:pPr>
        <w:pStyle w:val="NormalWeb"/>
        <w:rPr>
          <w:rFonts w:ascii="Segoe UI" w:hAnsi="Segoe UI" w:cs="Segoe UI"/>
          <w:sz w:val="21"/>
          <w:szCs w:val="21"/>
        </w:rPr>
      </w:pPr>
      <w:r>
        <w:rPr>
          <w:rFonts w:ascii="Segoe UI" w:hAnsi="Segoe UI" w:cs="Segoe UI"/>
          <w:sz w:val="21"/>
          <w:szCs w:val="21"/>
        </w:rPr>
        <w:t>Then the Broadcom card will be seated in its priority slot of slot 1 </w:t>
      </w:r>
    </w:p>
    <w:p w14:paraId="3B66F2ED" w14:textId="77777777" w:rsidR="00C75DE0" w:rsidRDefault="00C75DE0" w:rsidP="00C75DE0">
      <w:pPr>
        <w:pStyle w:val="NormalWeb"/>
        <w:rPr>
          <w:rFonts w:ascii="Segoe UI" w:hAnsi="Segoe UI" w:cs="Segoe UI"/>
          <w:sz w:val="21"/>
          <w:szCs w:val="21"/>
        </w:rPr>
      </w:pPr>
      <w:r>
        <w:rPr>
          <w:rFonts w:ascii="Segoe UI" w:hAnsi="Segoe UI" w:cs="Segoe UI"/>
          <w:sz w:val="21"/>
          <w:szCs w:val="21"/>
        </w:rPr>
        <w:t>These factory default choices are mostly thermal and getting x16 cards in x16 slots </w:t>
      </w:r>
    </w:p>
    <w:p w14:paraId="17608304" w14:textId="77777777" w:rsidR="00C75DE0" w:rsidRDefault="00C75DE0" w:rsidP="00C75DE0">
      <w:pPr>
        <w:pStyle w:val="NormalWeb"/>
        <w:rPr>
          <w:rFonts w:ascii="Segoe UI" w:hAnsi="Segoe UI" w:cs="Segoe UI"/>
          <w:sz w:val="21"/>
          <w:szCs w:val="21"/>
        </w:rPr>
      </w:pPr>
      <w:r>
        <w:rPr>
          <w:rFonts w:ascii="Segoe UI" w:hAnsi="Segoe UI" w:cs="Segoe UI"/>
          <w:sz w:val="21"/>
          <w:szCs w:val="21"/>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660"/>
        <w:gridCol w:w="740"/>
        <w:gridCol w:w="714"/>
        <w:gridCol w:w="861"/>
        <w:gridCol w:w="336"/>
        <w:gridCol w:w="471"/>
        <w:gridCol w:w="902"/>
      </w:tblGrid>
      <w:tr w:rsidR="00C75DE0" w14:paraId="55E036E0" w14:textId="77777777" w:rsidTr="00C75DE0">
        <w:trPr>
          <w:tblCellSpacing w:w="15" w:type="dxa"/>
        </w:trPr>
        <w:tc>
          <w:tcPr>
            <w:tcW w:w="0" w:type="auto"/>
            <w:vAlign w:val="center"/>
            <w:hideMark/>
          </w:tcPr>
          <w:p w14:paraId="6C8EE2F4" w14:textId="77777777" w:rsidR="00C75DE0" w:rsidRDefault="00C75DE0">
            <w:r>
              <w:t>Location</w:t>
            </w:r>
          </w:p>
        </w:tc>
        <w:tc>
          <w:tcPr>
            <w:tcW w:w="0" w:type="auto"/>
            <w:vAlign w:val="center"/>
            <w:hideMark/>
          </w:tcPr>
          <w:p w14:paraId="40A594D0" w14:textId="77777777" w:rsidR="00C75DE0" w:rsidRDefault="00C75DE0">
            <w:r>
              <w:t>Width</w:t>
            </w:r>
          </w:p>
        </w:tc>
        <w:tc>
          <w:tcPr>
            <w:tcW w:w="0" w:type="auto"/>
            <w:vAlign w:val="center"/>
            <w:hideMark/>
          </w:tcPr>
          <w:p w14:paraId="2B4AD83D" w14:textId="77777777" w:rsidR="00C75DE0" w:rsidRDefault="00C75DE0">
            <w:r>
              <w:t>Length</w:t>
            </w:r>
          </w:p>
        </w:tc>
        <w:tc>
          <w:tcPr>
            <w:tcW w:w="0" w:type="auto"/>
            <w:vAlign w:val="center"/>
            <w:hideMark/>
          </w:tcPr>
          <w:p w14:paraId="71566C7B" w14:textId="77777777" w:rsidR="00C75DE0" w:rsidRDefault="00C75DE0">
            <w:r>
              <w:t>Height</w:t>
            </w:r>
          </w:p>
        </w:tc>
        <w:tc>
          <w:tcPr>
            <w:tcW w:w="0" w:type="auto"/>
            <w:vAlign w:val="center"/>
            <w:hideMark/>
          </w:tcPr>
          <w:p w14:paraId="1B8CA019" w14:textId="77777777" w:rsidR="00C75DE0" w:rsidRDefault="00C75DE0">
            <w:r>
              <w:t>RSR1D</w:t>
            </w:r>
          </w:p>
        </w:tc>
        <w:tc>
          <w:tcPr>
            <w:tcW w:w="0" w:type="auto"/>
            <w:gridSpan w:val="2"/>
            <w:vAlign w:val="center"/>
            <w:hideMark/>
          </w:tcPr>
          <w:p w14:paraId="7CE6AAD5" w14:textId="77777777" w:rsidR="00C75DE0" w:rsidRDefault="00C75DE0">
            <w:r>
              <w:t>RSR2A</w:t>
            </w:r>
          </w:p>
        </w:tc>
        <w:tc>
          <w:tcPr>
            <w:tcW w:w="0" w:type="auto"/>
            <w:vAlign w:val="center"/>
            <w:hideMark/>
          </w:tcPr>
          <w:p w14:paraId="38349FB8" w14:textId="77777777" w:rsidR="00C75DE0" w:rsidRDefault="00C75DE0">
            <w:r>
              <w:t>RSR3A</w:t>
            </w:r>
          </w:p>
        </w:tc>
      </w:tr>
      <w:tr w:rsidR="00C75DE0" w14:paraId="7FF475F1" w14:textId="77777777" w:rsidTr="00C75DE0">
        <w:trPr>
          <w:tblCellSpacing w:w="15" w:type="dxa"/>
        </w:trPr>
        <w:tc>
          <w:tcPr>
            <w:tcW w:w="0" w:type="auto"/>
            <w:vAlign w:val="center"/>
            <w:hideMark/>
          </w:tcPr>
          <w:p w14:paraId="15A611D5" w14:textId="77777777" w:rsidR="00C75DE0" w:rsidRDefault="00C75DE0">
            <w:r>
              <w:t xml:space="preserve">Agile </w:t>
            </w:r>
            <w:proofErr w:type="spellStart"/>
            <w:r>
              <w:t>p/n</w:t>
            </w:r>
            <w:proofErr w:type="spellEnd"/>
          </w:p>
        </w:tc>
        <w:tc>
          <w:tcPr>
            <w:tcW w:w="0" w:type="auto"/>
            <w:vAlign w:val="center"/>
            <w:hideMark/>
          </w:tcPr>
          <w:p w14:paraId="1F06E5C8" w14:textId="77777777" w:rsidR="00C75DE0" w:rsidRDefault="00C75DE0">
            <w:r>
              <w:t> </w:t>
            </w:r>
          </w:p>
        </w:tc>
        <w:tc>
          <w:tcPr>
            <w:tcW w:w="0" w:type="auto"/>
            <w:vAlign w:val="center"/>
            <w:hideMark/>
          </w:tcPr>
          <w:p w14:paraId="66A9F57B" w14:textId="77777777" w:rsidR="00C75DE0" w:rsidRDefault="00C75DE0">
            <w:r>
              <w:t> </w:t>
            </w:r>
          </w:p>
        </w:tc>
        <w:tc>
          <w:tcPr>
            <w:tcW w:w="0" w:type="auto"/>
            <w:vAlign w:val="center"/>
            <w:hideMark/>
          </w:tcPr>
          <w:p w14:paraId="213B68FF" w14:textId="77777777" w:rsidR="00C75DE0" w:rsidRDefault="00C75DE0">
            <w:r>
              <w:t> </w:t>
            </w:r>
          </w:p>
        </w:tc>
        <w:tc>
          <w:tcPr>
            <w:tcW w:w="0" w:type="auto"/>
            <w:vAlign w:val="center"/>
            <w:hideMark/>
          </w:tcPr>
          <w:p w14:paraId="7F37B508" w14:textId="77777777" w:rsidR="00C75DE0" w:rsidRDefault="00C75DE0">
            <w:r>
              <w:t>GHGTP</w:t>
            </w:r>
          </w:p>
        </w:tc>
        <w:tc>
          <w:tcPr>
            <w:tcW w:w="0" w:type="auto"/>
            <w:gridSpan w:val="2"/>
            <w:vAlign w:val="center"/>
            <w:hideMark/>
          </w:tcPr>
          <w:p w14:paraId="1728EF2B" w14:textId="77777777" w:rsidR="00C75DE0" w:rsidRDefault="00C75DE0">
            <w:r>
              <w:t>T20VP</w:t>
            </w:r>
          </w:p>
        </w:tc>
        <w:tc>
          <w:tcPr>
            <w:tcW w:w="0" w:type="auto"/>
            <w:vAlign w:val="center"/>
            <w:hideMark/>
          </w:tcPr>
          <w:p w14:paraId="186BF075" w14:textId="77777777" w:rsidR="00C75DE0" w:rsidRDefault="00C75DE0">
            <w:r>
              <w:t>NMHT7</w:t>
            </w:r>
          </w:p>
        </w:tc>
      </w:tr>
      <w:tr w:rsidR="00C75DE0" w14:paraId="2AC044AC" w14:textId="77777777" w:rsidTr="00C75DE0">
        <w:trPr>
          <w:tblCellSpacing w:w="15" w:type="dxa"/>
        </w:trPr>
        <w:tc>
          <w:tcPr>
            <w:tcW w:w="0" w:type="auto"/>
            <w:vAlign w:val="center"/>
            <w:hideMark/>
          </w:tcPr>
          <w:p w14:paraId="605D9CA7" w14:textId="77777777" w:rsidR="00C75DE0" w:rsidRDefault="00C75DE0">
            <w:r>
              <w:t>PCIe Slot-1</w:t>
            </w:r>
          </w:p>
        </w:tc>
        <w:tc>
          <w:tcPr>
            <w:tcW w:w="0" w:type="auto"/>
            <w:vAlign w:val="center"/>
            <w:hideMark/>
          </w:tcPr>
          <w:p w14:paraId="024FA77C" w14:textId="77777777" w:rsidR="00C75DE0" w:rsidRDefault="00C75DE0">
            <w:r>
              <w:t>DW</w:t>
            </w:r>
          </w:p>
        </w:tc>
        <w:tc>
          <w:tcPr>
            <w:tcW w:w="0" w:type="auto"/>
            <w:vAlign w:val="center"/>
            <w:hideMark/>
          </w:tcPr>
          <w:p w14:paraId="44D8FA57" w14:textId="77777777" w:rsidR="00C75DE0" w:rsidRDefault="00C75DE0">
            <w:r>
              <w:t>FL</w:t>
            </w:r>
          </w:p>
        </w:tc>
        <w:tc>
          <w:tcPr>
            <w:tcW w:w="0" w:type="auto"/>
            <w:vAlign w:val="center"/>
            <w:hideMark/>
          </w:tcPr>
          <w:p w14:paraId="5308C196" w14:textId="77777777" w:rsidR="00C75DE0" w:rsidRDefault="00C75DE0">
            <w:r>
              <w:t>FH</w:t>
            </w:r>
          </w:p>
        </w:tc>
        <w:tc>
          <w:tcPr>
            <w:tcW w:w="0" w:type="auto"/>
            <w:vAlign w:val="center"/>
            <w:hideMark/>
          </w:tcPr>
          <w:p w14:paraId="11F76A24" w14:textId="77777777" w:rsidR="00C75DE0" w:rsidRDefault="00C75DE0">
            <w:r>
              <w:t>x16</w:t>
            </w:r>
          </w:p>
        </w:tc>
        <w:tc>
          <w:tcPr>
            <w:tcW w:w="0" w:type="auto"/>
            <w:vAlign w:val="center"/>
            <w:hideMark/>
          </w:tcPr>
          <w:p w14:paraId="5BAFA7F7" w14:textId="77777777" w:rsidR="00C75DE0" w:rsidRDefault="00C75DE0">
            <w:r>
              <w:t> </w:t>
            </w:r>
          </w:p>
        </w:tc>
        <w:tc>
          <w:tcPr>
            <w:tcW w:w="0" w:type="auto"/>
            <w:vAlign w:val="center"/>
            <w:hideMark/>
          </w:tcPr>
          <w:p w14:paraId="7CCB941B" w14:textId="77777777" w:rsidR="00C75DE0" w:rsidRDefault="00C75DE0">
            <w:r>
              <w:t> </w:t>
            </w:r>
          </w:p>
        </w:tc>
        <w:tc>
          <w:tcPr>
            <w:tcW w:w="0" w:type="auto"/>
            <w:vAlign w:val="center"/>
            <w:hideMark/>
          </w:tcPr>
          <w:p w14:paraId="28FDC6CC" w14:textId="77777777" w:rsidR="00C75DE0" w:rsidRDefault="00C75DE0">
            <w:r>
              <w:t> </w:t>
            </w:r>
          </w:p>
        </w:tc>
      </w:tr>
      <w:tr w:rsidR="00C75DE0" w14:paraId="6A4CB14F" w14:textId="77777777" w:rsidTr="00C75DE0">
        <w:trPr>
          <w:tblCellSpacing w:w="15" w:type="dxa"/>
        </w:trPr>
        <w:tc>
          <w:tcPr>
            <w:tcW w:w="0" w:type="auto"/>
            <w:vAlign w:val="center"/>
            <w:hideMark/>
          </w:tcPr>
          <w:p w14:paraId="2D1735AE" w14:textId="77777777" w:rsidR="00C75DE0" w:rsidRDefault="00C75DE0">
            <w:r>
              <w:t>PCIe Slot-2</w:t>
            </w:r>
          </w:p>
        </w:tc>
        <w:tc>
          <w:tcPr>
            <w:tcW w:w="0" w:type="auto"/>
            <w:vAlign w:val="center"/>
            <w:hideMark/>
          </w:tcPr>
          <w:p w14:paraId="6E731AB7" w14:textId="77777777" w:rsidR="00C75DE0" w:rsidRDefault="00C75DE0">
            <w:r>
              <w:t>SW</w:t>
            </w:r>
          </w:p>
        </w:tc>
        <w:tc>
          <w:tcPr>
            <w:tcW w:w="0" w:type="auto"/>
            <w:vAlign w:val="center"/>
            <w:hideMark/>
          </w:tcPr>
          <w:p w14:paraId="50D4DBC3" w14:textId="77777777" w:rsidR="00C75DE0" w:rsidRDefault="00C75DE0">
            <w:r>
              <w:t>FL</w:t>
            </w:r>
          </w:p>
        </w:tc>
        <w:tc>
          <w:tcPr>
            <w:tcW w:w="0" w:type="auto"/>
            <w:vAlign w:val="center"/>
            <w:hideMark/>
          </w:tcPr>
          <w:p w14:paraId="10FF964B" w14:textId="77777777" w:rsidR="00C75DE0" w:rsidRDefault="00C75DE0">
            <w:r>
              <w:t>FH</w:t>
            </w:r>
          </w:p>
        </w:tc>
        <w:tc>
          <w:tcPr>
            <w:tcW w:w="0" w:type="auto"/>
            <w:vAlign w:val="center"/>
            <w:hideMark/>
          </w:tcPr>
          <w:p w14:paraId="3835758B" w14:textId="77777777" w:rsidR="00C75DE0" w:rsidRDefault="00C75DE0">
            <w:r>
              <w:t>x8</w:t>
            </w:r>
          </w:p>
        </w:tc>
        <w:tc>
          <w:tcPr>
            <w:tcW w:w="0" w:type="auto"/>
            <w:vAlign w:val="center"/>
            <w:hideMark/>
          </w:tcPr>
          <w:p w14:paraId="75EB151B" w14:textId="77777777" w:rsidR="00C75DE0" w:rsidRDefault="00C75DE0">
            <w:r>
              <w:t> </w:t>
            </w:r>
          </w:p>
        </w:tc>
        <w:tc>
          <w:tcPr>
            <w:tcW w:w="0" w:type="auto"/>
            <w:vAlign w:val="center"/>
            <w:hideMark/>
          </w:tcPr>
          <w:p w14:paraId="5695B52D" w14:textId="77777777" w:rsidR="00C75DE0" w:rsidRDefault="00C75DE0">
            <w:r>
              <w:t> </w:t>
            </w:r>
          </w:p>
        </w:tc>
        <w:tc>
          <w:tcPr>
            <w:tcW w:w="0" w:type="auto"/>
            <w:vAlign w:val="center"/>
            <w:hideMark/>
          </w:tcPr>
          <w:p w14:paraId="48546FAA" w14:textId="77777777" w:rsidR="00C75DE0" w:rsidRDefault="00C75DE0">
            <w:r>
              <w:t> </w:t>
            </w:r>
          </w:p>
        </w:tc>
      </w:tr>
      <w:tr w:rsidR="00C75DE0" w14:paraId="4FDD0DA5" w14:textId="77777777" w:rsidTr="00C75DE0">
        <w:trPr>
          <w:tblCellSpacing w:w="15" w:type="dxa"/>
        </w:trPr>
        <w:tc>
          <w:tcPr>
            <w:tcW w:w="0" w:type="auto"/>
            <w:vAlign w:val="center"/>
            <w:hideMark/>
          </w:tcPr>
          <w:p w14:paraId="1B3B1AC3" w14:textId="77777777" w:rsidR="00C75DE0" w:rsidRDefault="00C75DE0">
            <w:r>
              <w:t>PCIe Slot-3</w:t>
            </w:r>
          </w:p>
        </w:tc>
        <w:tc>
          <w:tcPr>
            <w:tcW w:w="0" w:type="auto"/>
            <w:vAlign w:val="center"/>
            <w:hideMark/>
          </w:tcPr>
          <w:p w14:paraId="457E765E" w14:textId="77777777" w:rsidR="00C75DE0" w:rsidRDefault="00C75DE0">
            <w:r>
              <w:t>SW</w:t>
            </w:r>
          </w:p>
        </w:tc>
        <w:tc>
          <w:tcPr>
            <w:tcW w:w="0" w:type="auto"/>
            <w:vAlign w:val="center"/>
            <w:hideMark/>
          </w:tcPr>
          <w:p w14:paraId="1F8FD196" w14:textId="77777777" w:rsidR="00C75DE0" w:rsidRDefault="00C75DE0">
            <w:r>
              <w:t>HL</w:t>
            </w:r>
          </w:p>
        </w:tc>
        <w:tc>
          <w:tcPr>
            <w:tcW w:w="0" w:type="auto"/>
            <w:vAlign w:val="center"/>
            <w:hideMark/>
          </w:tcPr>
          <w:p w14:paraId="6B682E5F" w14:textId="77777777" w:rsidR="00C75DE0" w:rsidRDefault="00C75DE0">
            <w:r>
              <w:t>FH</w:t>
            </w:r>
          </w:p>
        </w:tc>
        <w:tc>
          <w:tcPr>
            <w:tcW w:w="0" w:type="auto"/>
            <w:vAlign w:val="center"/>
            <w:hideMark/>
          </w:tcPr>
          <w:p w14:paraId="16C7EC46" w14:textId="77777777" w:rsidR="00C75DE0" w:rsidRDefault="00C75DE0">
            <w:r>
              <w:t>x8</w:t>
            </w:r>
          </w:p>
        </w:tc>
        <w:tc>
          <w:tcPr>
            <w:tcW w:w="0" w:type="auto"/>
            <w:vAlign w:val="center"/>
            <w:hideMark/>
          </w:tcPr>
          <w:p w14:paraId="0EBFF35A" w14:textId="77777777" w:rsidR="00C75DE0" w:rsidRDefault="00C75DE0">
            <w:r>
              <w:t> </w:t>
            </w:r>
          </w:p>
        </w:tc>
        <w:tc>
          <w:tcPr>
            <w:tcW w:w="0" w:type="auto"/>
            <w:vAlign w:val="center"/>
            <w:hideMark/>
          </w:tcPr>
          <w:p w14:paraId="74E786D4" w14:textId="77777777" w:rsidR="00C75DE0" w:rsidRDefault="00C75DE0">
            <w:r>
              <w:t> </w:t>
            </w:r>
          </w:p>
        </w:tc>
        <w:tc>
          <w:tcPr>
            <w:tcW w:w="0" w:type="auto"/>
            <w:vAlign w:val="center"/>
            <w:hideMark/>
          </w:tcPr>
          <w:p w14:paraId="712C69A0" w14:textId="77777777" w:rsidR="00C75DE0" w:rsidRDefault="00C75DE0">
            <w:r>
              <w:t> </w:t>
            </w:r>
          </w:p>
        </w:tc>
      </w:tr>
      <w:tr w:rsidR="00C75DE0" w14:paraId="0332669B" w14:textId="77777777" w:rsidTr="00C75DE0">
        <w:trPr>
          <w:tblCellSpacing w:w="15" w:type="dxa"/>
        </w:trPr>
        <w:tc>
          <w:tcPr>
            <w:tcW w:w="0" w:type="auto"/>
            <w:vAlign w:val="center"/>
            <w:hideMark/>
          </w:tcPr>
          <w:p w14:paraId="6E6149C8" w14:textId="77777777" w:rsidR="00C75DE0" w:rsidRDefault="00C75DE0">
            <w:r>
              <w:t>PCIe Slot-4</w:t>
            </w:r>
          </w:p>
        </w:tc>
        <w:tc>
          <w:tcPr>
            <w:tcW w:w="0" w:type="auto"/>
            <w:vAlign w:val="center"/>
            <w:hideMark/>
          </w:tcPr>
          <w:p w14:paraId="25586B81" w14:textId="77777777" w:rsidR="00C75DE0" w:rsidRDefault="00C75DE0">
            <w:r>
              <w:t>DW</w:t>
            </w:r>
          </w:p>
        </w:tc>
        <w:tc>
          <w:tcPr>
            <w:tcW w:w="0" w:type="auto"/>
            <w:vAlign w:val="center"/>
            <w:hideMark/>
          </w:tcPr>
          <w:p w14:paraId="4C20F26E" w14:textId="77777777" w:rsidR="00C75DE0" w:rsidRDefault="00C75DE0">
            <w:r>
              <w:t>FL</w:t>
            </w:r>
          </w:p>
        </w:tc>
        <w:tc>
          <w:tcPr>
            <w:tcW w:w="0" w:type="auto"/>
            <w:vAlign w:val="center"/>
            <w:hideMark/>
          </w:tcPr>
          <w:p w14:paraId="27013324" w14:textId="77777777" w:rsidR="00C75DE0" w:rsidRDefault="00C75DE0">
            <w:r>
              <w:t>FH</w:t>
            </w:r>
          </w:p>
        </w:tc>
        <w:tc>
          <w:tcPr>
            <w:tcW w:w="0" w:type="auto"/>
            <w:vAlign w:val="center"/>
            <w:hideMark/>
          </w:tcPr>
          <w:p w14:paraId="7413A2FF" w14:textId="77777777" w:rsidR="00C75DE0" w:rsidRDefault="00C75DE0">
            <w:r>
              <w:t> </w:t>
            </w:r>
          </w:p>
        </w:tc>
        <w:tc>
          <w:tcPr>
            <w:tcW w:w="0" w:type="auto"/>
            <w:vAlign w:val="center"/>
            <w:hideMark/>
          </w:tcPr>
          <w:p w14:paraId="3061164F" w14:textId="77777777" w:rsidR="00C75DE0" w:rsidRDefault="00C75DE0">
            <w:r>
              <w:t> </w:t>
            </w:r>
          </w:p>
        </w:tc>
        <w:tc>
          <w:tcPr>
            <w:tcW w:w="0" w:type="auto"/>
            <w:vAlign w:val="center"/>
            <w:hideMark/>
          </w:tcPr>
          <w:p w14:paraId="17A1B057" w14:textId="77777777" w:rsidR="00C75DE0" w:rsidRDefault="00C75DE0">
            <w:r>
              <w:t>x16</w:t>
            </w:r>
          </w:p>
        </w:tc>
        <w:tc>
          <w:tcPr>
            <w:tcW w:w="0" w:type="auto"/>
            <w:vAlign w:val="center"/>
            <w:hideMark/>
          </w:tcPr>
          <w:p w14:paraId="30F6B2B4" w14:textId="77777777" w:rsidR="00C75DE0" w:rsidRDefault="00C75DE0">
            <w:r>
              <w:t> </w:t>
            </w:r>
          </w:p>
        </w:tc>
      </w:tr>
      <w:tr w:rsidR="00C75DE0" w14:paraId="7580BA53" w14:textId="77777777" w:rsidTr="00C75DE0">
        <w:trPr>
          <w:tblCellSpacing w:w="15" w:type="dxa"/>
        </w:trPr>
        <w:tc>
          <w:tcPr>
            <w:tcW w:w="0" w:type="auto"/>
            <w:vAlign w:val="center"/>
            <w:hideMark/>
          </w:tcPr>
          <w:p w14:paraId="3F96F92A" w14:textId="77777777" w:rsidR="00C75DE0" w:rsidRDefault="00C75DE0">
            <w:r>
              <w:t>PCIe Slot-5</w:t>
            </w:r>
          </w:p>
        </w:tc>
        <w:tc>
          <w:tcPr>
            <w:tcW w:w="0" w:type="auto"/>
            <w:vAlign w:val="center"/>
            <w:hideMark/>
          </w:tcPr>
          <w:p w14:paraId="1DE18439" w14:textId="77777777" w:rsidR="00C75DE0" w:rsidRDefault="00C75DE0">
            <w:r>
              <w:t>SW</w:t>
            </w:r>
          </w:p>
        </w:tc>
        <w:tc>
          <w:tcPr>
            <w:tcW w:w="0" w:type="auto"/>
            <w:vAlign w:val="center"/>
            <w:hideMark/>
          </w:tcPr>
          <w:p w14:paraId="6F9A3F84" w14:textId="77777777" w:rsidR="00C75DE0" w:rsidRDefault="00C75DE0">
            <w:r>
              <w:t>FL</w:t>
            </w:r>
          </w:p>
        </w:tc>
        <w:tc>
          <w:tcPr>
            <w:tcW w:w="0" w:type="auto"/>
            <w:vAlign w:val="center"/>
            <w:hideMark/>
          </w:tcPr>
          <w:p w14:paraId="0B83AFBB" w14:textId="77777777" w:rsidR="00C75DE0" w:rsidRDefault="00C75DE0">
            <w:r>
              <w:t>FH</w:t>
            </w:r>
          </w:p>
        </w:tc>
        <w:tc>
          <w:tcPr>
            <w:tcW w:w="0" w:type="auto"/>
            <w:vAlign w:val="center"/>
            <w:hideMark/>
          </w:tcPr>
          <w:p w14:paraId="55F94750" w14:textId="77777777" w:rsidR="00C75DE0" w:rsidRDefault="00C75DE0">
            <w:r>
              <w:t> </w:t>
            </w:r>
          </w:p>
        </w:tc>
        <w:tc>
          <w:tcPr>
            <w:tcW w:w="0" w:type="auto"/>
            <w:vAlign w:val="center"/>
            <w:hideMark/>
          </w:tcPr>
          <w:p w14:paraId="5731B29C" w14:textId="77777777" w:rsidR="00C75DE0" w:rsidRDefault="00C75DE0">
            <w:r>
              <w:t> </w:t>
            </w:r>
          </w:p>
        </w:tc>
        <w:tc>
          <w:tcPr>
            <w:tcW w:w="0" w:type="auto"/>
            <w:vAlign w:val="center"/>
            <w:hideMark/>
          </w:tcPr>
          <w:p w14:paraId="289DEFC0" w14:textId="77777777" w:rsidR="00C75DE0" w:rsidRDefault="00C75DE0">
            <w:r>
              <w:t>x8</w:t>
            </w:r>
          </w:p>
        </w:tc>
        <w:tc>
          <w:tcPr>
            <w:tcW w:w="0" w:type="auto"/>
            <w:vAlign w:val="center"/>
            <w:hideMark/>
          </w:tcPr>
          <w:p w14:paraId="4E0373DD" w14:textId="77777777" w:rsidR="00C75DE0" w:rsidRDefault="00C75DE0">
            <w:r>
              <w:t> </w:t>
            </w:r>
          </w:p>
        </w:tc>
      </w:tr>
      <w:tr w:rsidR="00C75DE0" w14:paraId="53A3BA17" w14:textId="77777777" w:rsidTr="00C75DE0">
        <w:trPr>
          <w:tblCellSpacing w:w="15" w:type="dxa"/>
        </w:trPr>
        <w:tc>
          <w:tcPr>
            <w:tcW w:w="0" w:type="auto"/>
            <w:vAlign w:val="center"/>
            <w:hideMark/>
          </w:tcPr>
          <w:p w14:paraId="66790892" w14:textId="77777777" w:rsidR="00C75DE0" w:rsidRDefault="00C75DE0">
            <w:r>
              <w:lastRenderedPageBreak/>
              <w:t>PCIe Slot-6</w:t>
            </w:r>
          </w:p>
        </w:tc>
        <w:tc>
          <w:tcPr>
            <w:tcW w:w="0" w:type="auto"/>
            <w:vAlign w:val="center"/>
            <w:hideMark/>
          </w:tcPr>
          <w:p w14:paraId="4C4AC425" w14:textId="77777777" w:rsidR="00C75DE0" w:rsidRDefault="00C75DE0">
            <w:r>
              <w:t>SW</w:t>
            </w:r>
          </w:p>
        </w:tc>
        <w:tc>
          <w:tcPr>
            <w:tcW w:w="0" w:type="auto"/>
            <w:vAlign w:val="center"/>
            <w:hideMark/>
          </w:tcPr>
          <w:p w14:paraId="6B53A9FD" w14:textId="77777777" w:rsidR="00C75DE0" w:rsidRDefault="00C75DE0">
            <w:r>
              <w:t>HL</w:t>
            </w:r>
          </w:p>
        </w:tc>
        <w:tc>
          <w:tcPr>
            <w:tcW w:w="0" w:type="auto"/>
            <w:vAlign w:val="center"/>
            <w:hideMark/>
          </w:tcPr>
          <w:p w14:paraId="03AD33FE" w14:textId="77777777" w:rsidR="00C75DE0" w:rsidRDefault="00C75DE0">
            <w:r>
              <w:t>LP</w:t>
            </w:r>
          </w:p>
        </w:tc>
        <w:tc>
          <w:tcPr>
            <w:tcW w:w="0" w:type="auto"/>
            <w:vAlign w:val="center"/>
            <w:hideMark/>
          </w:tcPr>
          <w:p w14:paraId="26B04C1A" w14:textId="77777777" w:rsidR="00C75DE0" w:rsidRDefault="00C75DE0">
            <w:r>
              <w:t> </w:t>
            </w:r>
          </w:p>
        </w:tc>
        <w:tc>
          <w:tcPr>
            <w:tcW w:w="0" w:type="auto"/>
            <w:vAlign w:val="center"/>
            <w:hideMark/>
          </w:tcPr>
          <w:p w14:paraId="54643718" w14:textId="77777777" w:rsidR="00C75DE0" w:rsidRDefault="00C75DE0">
            <w:r>
              <w:t>x8</w:t>
            </w:r>
          </w:p>
        </w:tc>
        <w:tc>
          <w:tcPr>
            <w:tcW w:w="0" w:type="auto"/>
            <w:vAlign w:val="center"/>
            <w:hideMark/>
          </w:tcPr>
          <w:p w14:paraId="23A26FA8" w14:textId="77777777" w:rsidR="00C75DE0" w:rsidRDefault="00C75DE0">
            <w:r>
              <w:t> </w:t>
            </w:r>
          </w:p>
        </w:tc>
        <w:tc>
          <w:tcPr>
            <w:tcW w:w="0" w:type="auto"/>
            <w:vAlign w:val="center"/>
            <w:hideMark/>
          </w:tcPr>
          <w:p w14:paraId="29A25500" w14:textId="77777777" w:rsidR="00C75DE0" w:rsidRDefault="00C75DE0">
            <w:r>
              <w:t> </w:t>
            </w:r>
          </w:p>
        </w:tc>
      </w:tr>
      <w:tr w:rsidR="00C75DE0" w14:paraId="5CECFAA4" w14:textId="77777777" w:rsidTr="00C75DE0">
        <w:trPr>
          <w:tblCellSpacing w:w="15" w:type="dxa"/>
        </w:trPr>
        <w:tc>
          <w:tcPr>
            <w:tcW w:w="0" w:type="auto"/>
            <w:vAlign w:val="center"/>
            <w:hideMark/>
          </w:tcPr>
          <w:p w14:paraId="4B26DD12" w14:textId="77777777" w:rsidR="00C75DE0" w:rsidRDefault="00C75DE0">
            <w:r>
              <w:t>PCIe Slot-7</w:t>
            </w:r>
          </w:p>
        </w:tc>
        <w:tc>
          <w:tcPr>
            <w:tcW w:w="0" w:type="auto"/>
            <w:vAlign w:val="center"/>
            <w:hideMark/>
          </w:tcPr>
          <w:p w14:paraId="2CFBD7C7" w14:textId="77777777" w:rsidR="00C75DE0" w:rsidRDefault="00C75DE0">
            <w:r>
              <w:t>SW</w:t>
            </w:r>
          </w:p>
        </w:tc>
        <w:tc>
          <w:tcPr>
            <w:tcW w:w="0" w:type="auto"/>
            <w:vAlign w:val="center"/>
            <w:hideMark/>
          </w:tcPr>
          <w:p w14:paraId="5491B7C5" w14:textId="77777777" w:rsidR="00C75DE0" w:rsidRDefault="00C75DE0">
            <w:r>
              <w:t>FL</w:t>
            </w:r>
          </w:p>
        </w:tc>
        <w:tc>
          <w:tcPr>
            <w:tcW w:w="0" w:type="auto"/>
            <w:vAlign w:val="center"/>
            <w:hideMark/>
          </w:tcPr>
          <w:p w14:paraId="7543EF88" w14:textId="77777777" w:rsidR="00C75DE0" w:rsidRDefault="00C75DE0">
            <w:r>
              <w:t>FH</w:t>
            </w:r>
          </w:p>
        </w:tc>
        <w:tc>
          <w:tcPr>
            <w:tcW w:w="0" w:type="auto"/>
            <w:vAlign w:val="center"/>
            <w:hideMark/>
          </w:tcPr>
          <w:p w14:paraId="4A4934FC" w14:textId="77777777" w:rsidR="00C75DE0" w:rsidRDefault="00C75DE0">
            <w:r>
              <w:t> </w:t>
            </w:r>
          </w:p>
        </w:tc>
        <w:tc>
          <w:tcPr>
            <w:tcW w:w="0" w:type="auto"/>
            <w:vAlign w:val="center"/>
            <w:hideMark/>
          </w:tcPr>
          <w:p w14:paraId="758275B2" w14:textId="77777777" w:rsidR="00C75DE0" w:rsidRDefault="00C75DE0">
            <w:r>
              <w:t> </w:t>
            </w:r>
          </w:p>
        </w:tc>
        <w:tc>
          <w:tcPr>
            <w:tcW w:w="0" w:type="auto"/>
            <w:vAlign w:val="center"/>
            <w:hideMark/>
          </w:tcPr>
          <w:p w14:paraId="28EA18D0" w14:textId="77777777" w:rsidR="00C75DE0" w:rsidRDefault="00C75DE0">
            <w:r>
              <w:t> </w:t>
            </w:r>
          </w:p>
        </w:tc>
        <w:tc>
          <w:tcPr>
            <w:tcW w:w="0" w:type="auto"/>
            <w:vAlign w:val="center"/>
            <w:hideMark/>
          </w:tcPr>
          <w:p w14:paraId="37C6B3D0" w14:textId="77777777" w:rsidR="00C75DE0" w:rsidRDefault="00C75DE0">
            <w:r>
              <w:t>x8</w:t>
            </w:r>
          </w:p>
        </w:tc>
      </w:tr>
      <w:tr w:rsidR="00C75DE0" w14:paraId="27D18134" w14:textId="77777777" w:rsidTr="00C75DE0">
        <w:trPr>
          <w:tblCellSpacing w:w="15" w:type="dxa"/>
        </w:trPr>
        <w:tc>
          <w:tcPr>
            <w:tcW w:w="0" w:type="auto"/>
            <w:vAlign w:val="center"/>
            <w:hideMark/>
          </w:tcPr>
          <w:p w14:paraId="0A585BBE" w14:textId="77777777" w:rsidR="00C75DE0" w:rsidRDefault="00C75DE0">
            <w:r>
              <w:t>PCIe Slot-8</w:t>
            </w:r>
          </w:p>
        </w:tc>
        <w:tc>
          <w:tcPr>
            <w:tcW w:w="0" w:type="auto"/>
            <w:vAlign w:val="center"/>
            <w:hideMark/>
          </w:tcPr>
          <w:p w14:paraId="7AC44CA8" w14:textId="77777777" w:rsidR="00C75DE0" w:rsidRDefault="00C75DE0">
            <w:r>
              <w:t>DW</w:t>
            </w:r>
          </w:p>
        </w:tc>
        <w:tc>
          <w:tcPr>
            <w:tcW w:w="0" w:type="auto"/>
            <w:vAlign w:val="center"/>
            <w:hideMark/>
          </w:tcPr>
          <w:p w14:paraId="57BDB18E" w14:textId="77777777" w:rsidR="00C75DE0" w:rsidRDefault="00C75DE0">
            <w:r>
              <w:t>FL</w:t>
            </w:r>
          </w:p>
        </w:tc>
        <w:tc>
          <w:tcPr>
            <w:tcW w:w="0" w:type="auto"/>
            <w:vAlign w:val="center"/>
            <w:hideMark/>
          </w:tcPr>
          <w:p w14:paraId="23517D6A" w14:textId="77777777" w:rsidR="00C75DE0" w:rsidRDefault="00C75DE0">
            <w:r>
              <w:t>FH</w:t>
            </w:r>
          </w:p>
        </w:tc>
        <w:tc>
          <w:tcPr>
            <w:tcW w:w="0" w:type="auto"/>
            <w:vAlign w:val="center"/>
            <w:hideMark/>
          </w:tcPr>
          <w:p w14:paraId="08450368" w14:textId="77777777" w:rsidR="00C75DE0" w:rsidRDefault="00C75DE0">
            <w:r>
              <w:t> </w:t>
            </w:r>
          </w:p>
        </w:tc>
        <w:tc>
          <w:tcPr>
            <w:tcW w:w="0" w:type="auto"/>
            <w:vAlign w:val="center"/>
            <w:hideMark/>
          </w:tcPr>
          <w:p w14:paraId="5AA07396" w14:textId="77777777" w:rsidR="00C75DE0" w:rsidRDefault="00C75DE0">
            <w:r>
              <w:t> </w:t>
            </w:r>
          </w:p>
        </w:tc>
        <w:tc>
          <w:tcPr>
            <w:tcW w:w="0" w:type="auto"/>
            <w:vAlign w:val="center"/>
            <w:hideMark/>
          </w:tcPr>
          <w:p w14:paraId="587F3448" w14:textId="77777777" w:rsidR="00C75DE0" w:rsidRDefault="00C75DE0">
            <w:r>
              <w:t> </w:t>
            </w:r>
          </w:p>
        </w:tc>
        <w:tc>
          <w:tcPr>
            <w:tcW w:w="0" w:type="auto"/>
            <w:vAlign w:val="center"/>
            <w:hideMark/>
          </w:tcPr>
          <w:p w14:paraId="2305927D" w14:textId="77777777" w:rsidR="00C75DE0" w:rsidRDefault="00C75DE0">
            <w:r>
              <w:t>x16</w:t>
            </w:r>
          </w:p>
        </w:tc>
      </w:tr>
    </w:tbl>
    <w:p w14:paraId="1F98B6FC" w14:textId="21AC88E5" w:rsidR="00C75DE0" w:rsidRDefault="00C75DE0" w:rsidP="00C75DE0">
      <w:pPr>
        <w:pStyle w:val="NormalWeb"/>
        <w:rPr>
          <w:rFonts w:ascii="Segoe UI" w:hAnsi="Segoe UI" w:cs="Segoe UI"/>
          <w:sz w:val="21"/>
          <w:szCs w:val="21"/>
        </w:rPr>
      </w:pPr>
      <w:r>
        <w:rPr>
          <w:rFonts w:ascii="Segoe UI" w:hAnsi="Segoe UI" w:cs="Segoe UI"/>
          <w:sz w:val="21"/>
          <w:szCs w:val="21"/>
        </w:rPr>
        <w:t xml:space="preserve">As you can see 1,8 &amp; 4 are x16 slots. </w:t>
      </w:r>
      <w:r>
        <w:rPr>
          <w:rFonts w:ascii="Segoe UI" w:hAnsi="Segoe UI" w:cs="Segoe UI"/>
          <w:sz w:val="21"/>
          <w:szCs w:val="21"/>
        </w:rPr>
        <w:t>That’s</w:t>
      </w:r>
      <w:r>
        <w:rPr>
          <w:rFonts w:ascii="Segoe UI" w:hAnsi="Segoe UI" w:cs="Segoe UI"/>
          <w:sz w:val="21"/>
          <w:szCs w:val="21"/>
        </w:rPr>
        <w:t xml:space="preserve"> why we`ll prioritise these for the Broadcom NIC. </w:t>
      </w:r>
    </w:p>
    <w:p w14:paraId="7745F345" w14:textId="77777777" w:rsidR="00C75DE0" w:rsidRDefault="00C75DE0" w:rsidP="00C75DE0">
      <w:pPr>
        <w:pStyle w:val="NormalWeb"/>
        <w:rPr>
          <w:rFonts w:ascii="Segoe UI" w:hAnsi="Segoe UI" w:cs="Segoe UI"/>
          <w:sz w:val="21"/>
          <w:szCs w:val="21"/>
        </w:rPr>
      </w:pPr>
      <w:proofErr w:type="gramStart"/>
      <w:r>
        <w:rPr>
          <w:rFonts w:ascii="Segoe UI" w:hAnsi="Segoe UI" w:cs="Segoe UI"/>
          <w:sz w:val="21"/>
          <w:szCs w:val="21"/>
        </w:rPr>
        <w:t>So</w:t>
      </w:r>
      <w:proofErr w:type="gramEnd"/>
      <w:r>
        <w:rPr>
          <w:rFonts w:ascii="Segoe UI" w:hAnsi="Segoe UI" w:cs="Segoe UI"/>
          <w:sz w:val="21"/>
          <w:szCs w:val="21"/>
        </w:rPr>
        <w:t xml:space="preserve"> its gets the appropriate amount of lanes. </w:t>
      </w:r>
    </w:p>
    <w:p w14:paraId="23257670" w14:textId="77777777" w:rsidR="00C75DE0" w:rsidRDefault="00C75DE0" w:rsidP="00C75DE0">
      <w:pPr>
        <w:pStyle w:val="NormalWeb"/>
        <w:rPr>
          <w:rFonts w:ascii="Segoe UI" w:hAnsi="Segoe UI" w:cs="Segoe UI"/>
          <w:sz w:val="21"/>
          <w:szCs w:val="21"/>
        </w:rPr>
      </w:pPr>
      <w:r>
        <w:rPr>
          <w:rFonts w:ascii="Segoe UI" w:hAnsi="Segoe UI" w:cs="Segoe UI"/>
          <w:sz w:val="21"/>
          <w:szCs w:val="21"/>
        </w:rPr>
        <w:t>BTW, we`ll install the NICs. You`ll receive the full finished product unless you purposely buy any components in boxes. </w:t>
      </w:r>
    </w:p>
    <w:p w14:paraId="47BF989D" w14:textId="77777777" w:rsidR="00C75DE0" w:rsidRDefault="00C75DE0" w:rsidP="007207EE">
      <w:pPr>
        <w:pStyle w:val="NormalWeb"/>
      </w:pPr>
    </w:p>
    <w:p w14:paraId="135A236C" w14:textId="77777777" w:rsidR="007207EE" w:rsidRDefault="007207EE" w:rsidP="007207EE">
      <w:pPr>
        <w:pStyle w:val="NormalWeb"/>
      </w:pPr>
    </w:p>
    <w:p w14:paraId="49A47D62" w14:textId="7AEEDD24" w:rsidR="007207EE" w:rsidRDefault="007207EE"/>
    <w:sectPr w:rsidR="00720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CC"/>
    <w:rsid w:val="001B094B"/>
    <w:rsid w:val="00261880"/>
    <w:rsid w:val="00390192"/>
    <w:rsid w:val="004A64FB"/>
    <w:rsid w:val="007207EE"/>
    <w:rsid w:val="00915591"/>
    <w:rsid w:val="00C23BF5"/>
    <w:rsid w:val="00C75DE0"/>
    <w:rsid w:val="00D05CB9"/>
    <w:rsid w:val="00D7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4A5883"/>
  <w15:chartTrackingRefBased/>
  <w15:docId w15:val="{592313E8-4725-004D-BDFB-D832F93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E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4CC"/>
    <w:rPr>
      <w:color w:val="0563C1" w:themeColor="hyperlink"/>
      <w:u w:val="single"/>
    </w:rPr>
  </w:style>
  <w:style w:type="character" w:styleId="UnresolvedMention">
    <w:name w:val="Unresolved Mention"/>
    <w:basedOn w:val="DefaultParagraphFont"/>
    <w:uiPriority w:val="99"/>
    <w:semiHidden/>
    <w:unhideWhenUsed/>
    <w:rsid w:val="00D714CC"/>
    <w:rPr>
      <w:color w:val="605E5C"/>
      <w:shd w:val="clear" w:color="auto" w:fill="E1DFDD"/>
    </w:rPr>
  </w:style>
  <w:style w:type="paragraph" w:styleId="NormalWeb">
    <w:name w:val="Normal (Web)"/>
    <w:basedOn w:val="Normal"/>
    <w:uiPriority w:val="99"/>
    <w:semiHidden/>
    <w:unhideWhenUsed/>
    <w:rsid w:val="007207EE"/>
    <w:pPr>
      <w:spacing w:before="100" w:beforeAutospacing="1" w:after="100" w:afterAutospacing="1"/>
    </w:pPr>
  </w:style>
  <w:style w:type="character" w:customStyle="1" w:styleId="highlight">
    <w:name w:val="highlight"/>
    <w:basedOn w:val="DefaultParagraphFont"/>
    <w:rsid w:val="007207EE"/>
  </w:style>
  <w:style w:type="character" w:styleId="FollowedHyperlink">
    <w:name w:val="FollowedHyperlink"/>
    <w:basedOn w:val="DefaultParagraphFont"/>
    <w:uiPriority w:val="99"/>
    <w:semiHidden/>
    <w:unhideWhenUsed/>
    <w:rsid w:val="00720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737">
      <w:bodyDiv w:val="1"/>
      <w:marLeft w:val="0"/>
      <w:marRight w:val="0"/>
      <w:marTop w:val="0"/>
      <w:marBottom w:val="0"/>
      <w:divBdr>
        <w:top w:val="none" w:sz="0" w:space="0" w:color="auto"/>
        <w:left w:val="none" w:sz="0" w:space="0" w:color="auto"/>
        <w:bottom w:val="none" w:sz="0" w:space="0" w:color="auto"/>
        <w:right w:val="none" w:sz="0" w:space="0" w:color="auto"/>
      </w:divBdr>
      <w:divsChild>
        <w:div w:id="566955616">
          <w:marLeft w:val="0"/>
          <w:marRight w:val="0"/>
          <w:marTop w:val="0"/>
          <w:marBottom w:val="0"/>
          <w:divBdr>
            <w:top w:val="none" w:sz="0" w:space="0" w:color="auto"/>
            <w:left w:val="none" w:sz="0" w:space="0" w:color="auto"/>
            <w:bottom w:val="none" w:sz="0" w:space="0" w:color="auto"/>
            <w:right w:val="none" w:sz="0" w:space="0" w:color="auto"/>
          </w:divBdr>
          <w:divsChild>
            <w:div w:id="2024085019">
              <w:marLeft w:val="0"/>
              <w:marRight w:val="0"/>
              <w:marTop w:val="0"/>
              <w:marBottom w:val="0"/>
              <w:divBdr>
                <w:top w:val="none" w:sz="0" w:space="0" w:color="auto"/>
                <w:left w:val="none" w:sz="0" w:space="0" w:color="auto"/>
                <w:bottom w:val="none" w:sz="0" w:space="0" w:color="auto"/>
                <w:right w:val="none" w:sz="0" w:space="0" w:color="auto"/>
              </w:divBdr>
              <w:divsChild>
                <w:div w:id="21404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2675">
      <w:bodyDiv w:val="1"/>
      <w:marLeft w:val="0"/>
      <w:marRight w:val="0"/>
      <w:marTop w:val="0"/>
      <w:marBottom w:val="0"/>
      <w:divBdr>
        <w:top w:val="none" w:sz="0" w:space="0" w:color="auto"/>
        <w:left w:val="none" w:sz="0" w:space="0" w:color="auto"/>
        <w:bottom w:val="none" w:sz="0" w:space="0" w:color="auto"/>
        <w:right w:val="none" w:sz="0" w:space="0" w:color="auto"/>
      </w:divBdr>
    </w:div>
    <w:div w:id="1321813264">
      <w:bodyDiv w:val="1"/>
      <w:marLeft w:val="0"/>
      <w:marRight w:val="0"/>
      <w:marTop w:val="0"/>
      <w:marBottom w:val="0"/>
      <w:divBdr>
        <w:top w:val="none" w:sz="0" w:space="0" w:color="auto"/>
        <w:left w:val="none" w:sz="0" w:space="0" w:color="auto"/>
        <w:bottom w:val="none" w:sz="0" w:space="0" w:color="auto"/>
        <w:right w:val="none" w:sz="0" w:space="0" w:color="auto"/>
      </w:divBdr>
      <w:divsChild>
        <w:div w:id="326984566">
          <w:marLeft w:val="0"/>
          <w:marRight w:val="0"/>
          <w:marTop w:val="0"/>
          <w:marBottom w:val="0"/>
          <w:divBdr>
            <w:top w:val="none" w:sz="0" w:space="0" w:color="auto"/>
            <w:left w:val="none" w:sz="0" w:space="0" w:color="auto"/>
            <w:bottom w:val="none" w:sz="0" w:space="0" w:color="auto"/>
            <w:right w:val="none" w:sz="0" w:space="0" w:color="auto"/>
          </w:divBdr>
          <w:divsChild>
            <w:div w:id="1139345456">
              <w:marLeft w:val="0"/>
              <w:marRight w:val="0"/>
              <w:marTop w:val="0"/>
              <w:marBottom w:val="0"/>
              <w:divBdr>
                <w:top w:val="none" w:sz="0" w:space="0" w:color="auto"/>
                <w:left w:val="none" w:sz="0" w:space="0" w:color="auto"/>
                <w:bottom w:val="none" w:sz="0" w:space="0" w:color="auto"/>
                <w:right w:val="none" w:sz="0" w:space="0" w:color="auto"/>
              </w:divBdr>
              <w:divsChild>
                <w:div w:id="13616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ll.com/sites/csdocuments/Shared-Content_data-Sheets_Documents/en/aa/PowerEdge_R740_R740xd_Technical_Guide.pdf"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dell.com/support/manuals/en-au/poweredge-r740/per740_techspecs_pub/expansion-bus-specifications?guid=guid-980ac5b8-ef7d-4759-8956-82c2aba9002a&amp;lang=en-us" TargetMode="External"/><Relationship Id="rId9" Type="http://schemas.openxmlformats.org/officeDocument/2006/relationships/hyperlink" Target="https://www.dell.com/en-hk/shop/broadcom-57508-dual-port-100gbe-qsfp-adapter-pcie-low-profile/apd/540-bdee/networking#tabs_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Jaime</dc:creator>
  <cp:keywords/>
  <dc:description/>
  <cp:lastModifiedBy>Santos, Jaime</cp:lastModifiedBy>
  <cp:revision>3</cp:revision>
  <dcterms:created xsi:type="dcterms:W3CDTF">2023-01-17T09:28:00Z</dcterms:created>
  <dcterms:modified xsi:type="dcterms:W3CDTF">2023-01-17T15:04:00Z</dcterms:modified>
</cp:coreProperties>
</file>